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87" w:rsidRPr="00F53E87" w:rsidRDefault="00F53E87" w:rsidP="00F53E87">
      <w:pPr>
        <w:spacing w:before="150" w:after="150" w:line="450" w:lineRule="atLeast"/>
        <w:jc w:val="center"/>
        <w:outlineLvl w:val="0"/>
        <w:rPr>
          <w:rFonts w:ascii="Arial" w:eastAsia="Times New Roman" w:hAnsi="Arial" w:cs="Arial"/>
          <w:color w:val="036AA9"/>
          <w:kern w:val="36"/>
          <w:sz w:val="36"/>
          <w:szCs w:val="36"/>
          <w:lang w:eastAsia="ru-RU"/>
        </w:rPr>
      </w:pPr>
      <w:r w:rsidRPr="00F53E87">
        <w:rPr>
          <w:rFonts w:ascii="Arial" w:eastAsia="Times New Roman" w:hAnsi="Arial" w:cs="Arial"/>
          <w:color w:val="036AA9"/>
          <w:kern w:val="36"/>
          <w:sz w:val="36"/>
          <w:szCs w:val="36"/>
          <w:lang w:eastAsia="ru-RU"/>
        </w:rPr>
        <w:t>Азбука потребителя: Предоставление услуг жилищно-коммунального хозяйства. Урок № 15. Порядок внесения платы за коммунальные услуги</w:t>
      </w:r>
    </w:p>
    <w:p w:rsidR="00F53E87" w:rsidRPr="00F53E87" w:rsidRDefault="00F53E87" w:rsidP="00F53E87">
      <w:pPr>
        <w:numPr>
          <w:ilvl w:val="0"/>
          <w:numId w:val="3"/>
        </w:numPr>
        <w:pBdr>
          <w:top w:val="single" w:sz="6" w:space="0" w:color="F0F0F0"/>
          <w:left w:val="single" w:sz="6" w:space="15" w:color="F0F0F0"/>
          <w:bottom w:val="single" w:sz="6" w:space="4" w:color="F0F0F0"/>
          <w:right w:val="single" w:sz="6" w:space="0" w:color="F0F0F0"/>
        </w:pBdr>
        <w:spacing w:after="0" w:line="300" w:lineRule="atLeast"/>
        <w:ind w:left="0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noProof/>
          <w:color w:val="4B72BC"/>
          <w:sz w:val="21"/>
          <w:szCs w:val="21"/>
          <w:lang w:eastAsia="ru-RU"/>
        </w:rPr>
        <w:drawing>
          <wp:inline distT="0" distB="0" distL="0" distR="0" wp14:anchorId="6D817006" wp14:editId="19B3836E">
            <wp:extent cx="2381250" cy="2381250"/>
            <wp:effectExtent l="0" t="0" r="0" b="0"/>
            <wp:docPr id="1" name="Рисунок 1" descr="http://www.fbuz66.ru/UPLOAD/2020/12/08/news_1257_1359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buz66.ru/UPLOAD/2020/12/08/news_1257_1359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87" w:rsidRPr="00F53E87" w:rsidRDefault="00F53E87" w:rsidP="00F53E87">
      <w:pPr>
        <w:shd w:val="clear" w:color="auto" w:fill="EEFFA8"/>
        <w:spacing w:after="75" w:line="312" w:lineRule="atLeast"/>
        <w:rPr>
          <w:rFonts w:ascii="Arial" w:eastAsia="Times New Roman" w:hAnsi="Arial" w:cs="Arial"/>
          <w:color w:val="B8CF5A"/>
          <w:sz w:val="17"/>
          <w:szCs w:val="17"/>
          <w:lang w:eastAsia="ru-RU"/>
        </w:rPr>
      </w:pP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bookmarkStart w:id="0" w:name="_GoBack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Исполнители коммунальных услуг обязаны предоставить потребителю информацию о порядке и форме оплаты коммунальных услуг (</w:t>
      </w:r>
      <w:r w:rsidRPr="00F53E87">
        <w:rPr>
          <w:rFonts w:ascii="Arial" w:eastAsia="Times New Roman" w:hAnsi="Arial" w:cs="Arial"/>
          <w:i/>
          <w:iCs/>
          <w:color w:val="4D4C4C"/>
          <w:sz w:val="21"/>
          <w:szCs w:val="21"/>
          <w:lang w:eastAsia="ru-RU"/>
        </w:rPr>
        <w:t>способы размещения такой информации рассмотрены в уроке «Предоставление информации потребителю»</w:t>
      </w: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).  Потребители обязаны своевременно и в полном объеме вносить плату за жилое помещение и коммунальные услуги. Такая обязанность должна осуществляться собственником с момента возникновения права собственности на помещение, в отношении нанимателей действуют правила возникновения обязанности в соответствии со ст. 153 ЖК РФ.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Порядок оплаты зависит от способа управления МКД: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- при непосредственном управлении собственниками – в </w:t>
      </w:r>
      <w:proofErr w:type="spellStart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ресурсоснабжающую</w:t>
      </w:r>
      <w:proofErr w:type="spellEnd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организацию (либо её платежным агентам);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- при управлении УК, ТСЖ, кооперативом – исполнителю (либо платежному агенту по его поручению).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- внесение оплаты в </w:t>
      </w:r>
      <w:proofErr w:type="spellStart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ресурсоснабжающую</w:t>
      </w:r>
      <w:proofErr w:type="spellEnd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организацию - если решение о таком способе расчетов принято общим собранием собственников помещений в МКД.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Основанием для внесения оплаты является платежный документ, который предоставляется на бумажном носителе, а также может быть размещен в информационной системе в электронной форме. Требования к платежному документу установлены п. 69 Правил № 354. Оплата вносится наличными или безналичными денежными средствами, в том числе при оплате через сеть «Интернет».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Отдельные особенности внесения оплаты: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- оплата в рассрочку, если размер платы за услугу, предоставленную в жилом помещении в каком-либо расчетном периоде превысит размер за аналогичный расчетный период прошлого года более чем на 25 %. В этом случае исполнитель обязан предоставить потребителю право на оплату в рассрочку, включив в платежный документ наряду с позицией, предусматривающей внесение платы за коммунальную услугу за расчетный период единовременно, позиций, предусматривающих возможность внесения платы в рассрочку в </w:t>
      </w: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lastRenderedPageBreak/>
        <w:t>размере одной двенадцатой размера платы за коммунальную услугу. Потребитель вправе воспользоваться либо отказаться от такой рассрочки. 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- предоставление льгот или субсидий отдельным категориям граждан в соответствии с установленным законом порядком. Например, Постановлением Правительства РФ от 14.12.2005 N 761 утверждён порядок предоставлении субсидий на оплату жилого помещения и коммунальных услуг потребителям с недостаточными доходами.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Последствия нарушения потребителем обязанностей по внесению платы: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1.  В случае невнесения или несвоевременного внесения платы за коммунальные услуги потребитель обязан уплатить исполнителю услуг пени. Начисление пени производится с тридцать первого дня, следующего за днем наступления срока оплаты, за каждый день просрочки оплаты. 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Например, если оплату надлежало внести до 10 сентября, то начисление пени при ее невнесении начинается с 11 ноября.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В течении первых 90 дней пени начисляются в размере 1/300 ставки рефинансирования Центрального банка Российской Федерации (установленной на день фактической оплаты) от не выплаченной в срок суммы.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Начиная с 91 дня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данных размеров пеней исполнителем не допускается.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1.    В случае, если жилое помещение не оборудовано приборами учета и расчет платы происходит исходя из числа проживающих, потребитель обязан информировать исполнителя об увеличении или уменьшении числа проживающих (в том числе временно) в занимаемом им жилом помещении, не позднее 5 рабочих дней со дня произошедших изменений.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3. Для установления достоверного количества проживающих в помещении исполнитель вправе составить соответствующий акт. Указанный акт подписывается исполнителем и потребителем, а в случае отказа потребителя от подписания акта - исполнителем и не менее чем 2 потребителями и членом совета многоквартирного дома, председателем товарищества или кооператива. Исполнитель обязан передать 1 экземпляр акта собственнику жилого помещения (постоянно проживающему потребителю), а при отказе в получении такого акта делается отметка.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В этом случае датой начала проживания временно проживающих потребителей считается 1-е число месяца даты составления указанного акта. С этой даты расчет платы производится исходя из установленного количества проживающих.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Ответственность исполнителя за нарушение прав потребителя: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1. Предъявление требования о предоставлении информации.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При несогласии с произведенными расчетами потребитель вправе требовать предоставить ему информацию о порядке расчета платы, а также о наличии либо отсутствии у него обязанности по установке прибора учета / технической возможности его установки.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lastRenderedPageBreak/>
        <w:t>2. Предъявление претензии исполнителю.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В случае, если потребитель считает, что исполнителем нарушается порядок расчета платы, он вправе обратиться к исполнителю с претензией, в которой потребовать проведения проверки правильности исчисления размера платы за коммунальные услуги, имеющихся задолженностей или переплат, а также правильности начисления неустоек (штрафов, пеней). В таком случае, исполнитель обязан немедленно по результатам проверки выдавать потребителю документы, содержащие правильно начисленные платежи. По требованию потребителя документы должны быть заверены подписью руководителя и печатью исполнителя.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3.  Судебный порядок.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В случае отказа удовлетворить требования потребителя в добровольном порядке потребитель вправе обратиться с исковым заявлением в суд. В исковом заявлении необходимо указать доводы, по которым потребитель не согласен с расчетом платы, а также приложить собственный расчет.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4. Административная ответственность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Нарушение исполнителем коммунальных услуг порядка расчета размера платы за соответствующий </w:t>
      </w:r>
      <w:proofErr w:type="gramStart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вид  коммунальной</w:t>
      </w:r>
      <w:proofErr w:type="gramEnd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услуги (например, холодное водоснабжение, газоснабжение, электроснабжение и др.) влечет наступление административной </w:t>
      </w:r>
      <w:proofErr w:type="spellStart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ответственностипо</w:t>
      </w:r>
      <w:proofErr w:type="spellEnd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  <w:r w:rsidRPr="00F53E87">
        <w:rPr>
          <w:rFonts w:ascii="Arial" w:eastAsia="Times New Roman" w:hAnsi="Arial" w:cs="Arial"/>
          <w:b/>
          <w:bCs/>
          <w:i/>
          <w:iCs/>
          <w:color w:val="4D4C4C"/>
          <w:sz w:val="21"/>
          <w:szCs w:val="21"/>
          <w:lang w:eastAsia="ru-RU"/>
        </w:rPr>
        <w:t>ч. 1, 2</w:t>
      </w: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  <w:r w:rsidRPr="00F53E87">
        <w:rPr>
          <w:rFonts w:ascii="Arial" w:eastAsia="Times New Roman" w:hAnsi="Arial" w:cs="Arial"/>
          <w:b/>
          <w:bCs/>
          <w:i/>
          <w:iCs/>
          <w:color w:val="4D4C4C"/>
          <w:sz w:val="21"/>
          <w:szCs w:val="21"/>
          <w:lang w:eastAsia="ru-RU"/>
        </w:rPr>
        <w:t>ст. 14.6 или ст. 14.7 КоАП РФ </w:t>
      </w: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– в отношении </w:t>
      </w:r>
      <w:proofErr w:type="spellStart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ресурсоснабжающей</w:t>
      </w:r>
      <w:proofErr w:type="spellEnd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организации.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В отношении Управляющей компании, ТСЖ за данное нарушение ответственность наступает </w:t>
      </w:r>
      <w:r w:rsidRPr="00F53E87">
        <w:rPr>
          <w:rFonts w:ascii="Arial" w:eastAsia="Times New Roman" w:hAnsi="Arial" w:cs="Arial"/>
          <w:b/>
          <w:bCs/>
          <w:i/>
          <w:iCs/>
          <w:color w:val="4D4C4C"/>
          <w:sz w:val="21"/>
          <w:szCs w:val="21"/>
          <w:lang w:eastAsia="ru-RU"/>
        </w:rPr>
        <w:t>по ст. 7.23.3 КоАП РФ либо ч. 2, 3 ст. 14.1.3 КоАП РФ.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Проверку по фактам выявленных нарушений осуществляет Департамент государственного жилищного и строительного надзора Свердловской области, которая по результатам проверки направляет материалы в Управление </w:t>
      </w:r>
      <w:proofErr w:type="spellStart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Роспотребнадзора</w:t>
      </w:r>
      <w:proofErr w:type="spellEnd"/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по Свердловской области для составления протокола об административном правонарушении по вышеназванным статьям.</w:t>
      </w:r>
    </w:p>
    <w:p w:rsidR="00F53E87" w:rsidRPr="00F53E87" w:rsidRDefault="00F53E87" w:rsidP="00F53E87">
      <w:pPr>
        <w:spacing w:before="150" w:after="150" w:line="330" w:lineRule="atLeast"/>
        <w:ind w:firstLine="510"/>
        <w:contextualSpacing/>
        <w:mirrorIndents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53E87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В целях привлечения исполнителя услуг к административной ответственности за совершение правонарушений, предусмотренных указанными статьями, потребителю рекомендуется обратиться </w:t>
      </w:r>
      <w:r w:rsidRPr="00F53E87">
        <w:rPr>
          <w:rFonts w:ascii="Arial" w:eastAsia="Times New Roman" w:hAnsi="Arial" w:cs="Arial"/>
          <w:b/>
          <w:bCs/>
          <w:i/>
          <w:iCs/>
          <w:color w:val="4D4C4C"/>
          <w:sz w:val="21"/>
          <w:szCs w:val="21"/>
          <w:lang w:eastAsia="ru-RU"/>
        </w:rPr>
        <w:t>с жалобой в Департамент государственного жилищного и строительного надзора Свердловской области по адресу: 620004, г. Екатеринбург, ул. Малышева, д. 101. </w:t>
      </w:r>
    </w:p>
    <w:bookmarkEnd w:id="0"/>
    <w:p w:rsidR="00F9192A" w:rsidRPr="00014DCD" w:rsidRDefault="00F9192A" w:rsidP="00F53E87">
      <w:pPr>
        <w:ind w:firstLine="510"/>
        <w:contextualSpacing/>
        <w:mirrorIndents/>
      </w:pPr>
    </w:p>
    <w:sectPr w:rsidR="00F9192A" w:rsidRPr="0001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745"/>
    <w:multiLevelType w:val="multilevel"/>
    <w:tmpl w:val="E2D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C45F0"/>
    <w:multiLevelType w:val="multilevel"/>
    <w:tmpl w:val="761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2"/>
    <w:rsid w:val="00014DCD"/>
    <w:rsid w:val="005E7CD2"/>
    <w:rsid w:val="00F53E87"/>
    <w:rsid w:val="00F62D3E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DF56-D338-4A4D-A066-8D3EFA6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D5E68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12/08/news_1257_1359_500_5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5</cp:revision>
  <dcterms:created xsi:type="dcterms:W3CDTF">2020-12-09T04:07:00Z</dcterms:created>
  <dcterms:modified xsi:type="dcterms:W3CDTF">2020-12-09T04:20:00Z</dcterms:modified>
</cp:coreProperties>
</file>