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82" w:rsidRPr="00C41A82" w:rsidRDefault="00C41A82" w:rsidP="00C41A82">
      <w:pPr>
        <w:pStyle w:val="1"/>
        <w:ind w:firstLine="708"/>
        <w:jc w:val="both"/>
        <w:rPr>
          <w:sz w:val="28"/>
          <w:szCs w:val="28"/>
        </w:rPr>
      </w:pPr>
      <w:r w:rsidRPr="00C41A82">
        <w:rPr>
          <w:sz w:val="28"/>
          <w:szCs w:val="28"/>
        </w:rPr>
        <w:t>Верховный Суд Российской Федерации разъяснил некоторые вопросы применения законодательства об ответственности за налоговые преступления</w:t>
      </w:r>
    </w:p>
    <w:p w:rsidR="002E772E" w:rsidRDefault="002E772E" w:rsidP="002E772E">
      <w:pPr>
        <w:pStyle w:val="a4"/>
        <w:widowControl w:val="0"/>
        <w:suppressAutoHyphens/>
        <w:spacing w:before="0" w:beforeAutospacing="0" w:after="0" w:afterAutospacing="0"/>
        <w:ind w:firstLine="851"/>
        <w:jc w:val="both"/>
        <w:rPr>
          <w:sz w:val="28"/>
          <w:szCs w:val="28"/>
        </w:rPr>
      </w:pPr>
      <w:r>
        <w:rPr>
          <w:sz w:val="28"/>
          <w:szCs w:val="28"/>
        </w:rPr>
        <w:t>Ирбитская межрайонная прокуратура разъясняет:</w:t>
      </w:r>
    </w:p>
    <w:p w:rsidR="002E772E" w:rsidRDefault="002E772E" w:rsidP="002E772E">
      <w:pPr>
        <w:pStyle w:val="a4"/>
        <w:widowControl w:val="0"/>
        <w:suppressAutoHyphens/>
        <w:spacing w:before="0" w:beforeAutospacing="0" w:after="0" w:afterAutospacing="0"/>
        <w:ind w:firstLine="851"/>
        <w:jc w:val="both"/>
      </w:pPr>
    </w:p>
    <w:p w:rsidR="00C41A82" w:rsidRPr="00C41A82" w:rsidRDefault="00C41A82" w:rsidP="00C41A82">
      <w:pPr>
        <w:pStyle w:val="a4"/>
        <w:widowControl w:val="0"/>
        <w:suppressAutoHyphens/>
        <w:spacing w:before="0" w:beforeAutospacing="0" w:after="0" w:afterAutospacing="0"/>
        <w:ind w:firstLine="851"/>
        <w:jc w:val="both"/>
        <w:rPr>
          <w:sz w:val="28"/>
          <w:szCs w:val="28"/>
        </w:rPr>
      </w:pPr>
      <w:r w:rsidRPr="00C41A82">
        <w:rPr>
          <w:sz w:val="28"/>
          <w:szCs w:val="28"/>
        </w:rPr>
        <w:t>Постановлением Пленума Верховного Суда Российской Федерации от 26.11.2019 № 48 «О практике применения судами законодательства об ответственности за налоговые преступления» разъяснен порядок рассмотрения судами уголовных дел о налоговых преступлениях.</w:t>
      </w:r>
    </w:p>
    <w:p w:rsidR="00C41A82" w:rsidRPr="00C41A82" w:rsidRDefault="00C41A82" w:rsidP="00C41A82">
      <w:pPr>
        <w:pStyle w:val="a4"/>
        <w:widowControl w:val="0"/>
        <w:suppressAutoHyphens/>
        <w:spacing w:before="0" w:beforeAutospacing="0" w:after="0" w:afterAutospacing="0"/>
        <w:ind w:firstLine="851"/>
        <w:jc w:val="both"/>
        <w:rPr>
          <w:sz w:val="28"/>
          <w:szCs w:val="28"/>
        </w:rPr>
      </w:pPr>
      <w:r w:rsidRPr="00C41A82">
        <w:rPr>
          <w:sz w:val="28"/>
          <w:szCs w:val="28"/>
        </w:rPr>
        <w:t xml:space="preserve">В частности, к ответственности может быть привлечен не только гражданин, но и индивидуальный предприниматель, а также адвокат, учредивший адвокатский кабинет, нотариус и другие частнопрактикующие лица. При неуплате налогов организацией возможно привлечь ее руководителя или уполномоченного представителя, который фактически выполнял обязанности руководителя. Подставное лицо привлекается как пособник. </w:t>
      </w:r>
    </w:p>
    <w:p w:rsidR="00C41A82" w:rsidRPr="00C41A82" w:rsidRDefault="00C41A82" w:rsidP="00C41A82">
      <w:pPr>
        <w:pStyle w:val="a4"/>
        <w:widowControl w:val="0"/>
        <w:suppressAutoHyphens/>
        <w:spacing w:before="0" w:beforeAutospacing="0" w:after="0" w:afterAutospacing="0"/>
        <w:ind w:firstLine="851"/>
        <w:jc w:val="both"/>
        <w:rPr>
          <w:sz w:val="28"/>
          <w:szCs w:val="28"/>
        </w:rPr>
      </w:pPr>
      <w:r w:rsidRPr="00C41A82">
        <w:rPr>
          <w:sz w:val="28"/>
          <w:szCs w:val="28"/>
        </w:rPr>
        <w:t>Отмечается, что с</w:t>
      </w:r>
      <w:bookmarkStart w:id="0" w:name="_GoBack"/>
      <w:bookmarkEnd w:id="0"/>
      <w:r w:rsidRPr="00C41A82">
        <w:rPr>
          <w:sz w:val="28"/>
          <w:szCs w:val="28"/>
        </w:rPr>
        <w:t>удам следует проверять, содержатся ли в постановлении о привлечении в качестве обвиняемого, обвинительном заключении сведения о том, какие конкретно нормы 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крупного размера для целей применения статей 198, 199, 199.1 Уголовного кодекса Российской Федерации.</w:t>
      </w:r>
    </w:p>
    <w:p w:rsidR="00C41A82" w:rsidRPr="00C41A82" w:rsidRDefault="00C41A82" w:rsidP="00C41A82">
      <w:pPr>
        <w:pStyle w:val="a4"/>
        <w:widowControl w:val="0"/>
        <w:suppressAutoHyphens/>
        <w:spacing w:before="0" w:beforeAutospacing="0" w:after="0" w:afterAutospacing="0"/>
        <w:ind w:firstLine="851"/>
        <w:jc w:val="both"/>
        <w:rPr>
          <w:sz w:val="28"/>
          <w:szCs w:val="28"/>
        </w:rPr>
      </w:pPr>
      <w:r w:rsidRPr="00C41A82">
        <w:rPr>
          <w:sz w:val="28"/>
          <w:szCs w:val="28"/>
        </w:rPr>
        <w:t>Уклонение от уплаты налогов возможно только с прямым умыслом, поэтому самого по себе факта неуплаты налогов недостаточно. Суду необходимо учитывать обстоятельства, исключающие вину. Все неустранимые сомнения толкуются в пользу обвиняемого. Это касается и определения периода для исчисления крупного или особо крупного размера долга. При сокрытии денежных средств или налогооблагаемого имущества следует устанавливать не только их наличие, но и обстоятельства, которые показывают, что эти средства были намеренно скрыты.</w:t>
      </w:r>
    </w:p>
    <w:p w:rsidR="00C41A82" w:rsidRPr="00C41A82" w:rsidRDefault="00C41A82" w:rsidP="00C41A82">
      <w:pPr>
        <w:pStyle w:val="a4"/>
        <w:widowControl w:val="0"/>
        <w:suppressAutoHyphens/>
        <w:spacing w:before="0" w:beforeAutospacing="0" w:after="0" w:afterAutospacing="0"/>
        <w:ind w:firstLine="851"/>
        <w:jc w:val="both"/>
        <w:rPr>
          <w:sz w:val="28"/>
          <w:szCs w:val="28"/>
        </w:rPr>
      </w:pPr>
      <w:r w:rsidRPr="00C41A82">
        <w:rPr>
          <w:sz w:val="28"/>
          <w:szCs w:val="28"/>
        </w:rPr>
        <w:t>Суды обязаны сами определять подлинный размер налоговых обязательств при определении ущерба бюджетной системе, учитывая все факторы. Доказательствами в уголовных делах могут быть налоговые декларации, другие документы, необходимые для расчета налога или взноса, акты налоговых проверок, заключения экспертов, судебные решения.</w:t>
      </w:r>
    </w:p>
    <w:p w:rsidR="002E772E" w:rsidRDefault="002E772E" w:rsidP="002E772E">
      <w:pPr>
        <w:pStyle w:val="a4"/>
        <w:widowControl w:val="0"/>
        <w:suppressAutoHyphens/>
        <w:spacing w:before="0" w:beforeAutospacing="0" w:after="0" w:afterAutospacing="0"/>
        <w:ind w:firstLine="851"/>
        <w:jc w:val="both"/>
        <w:rPr>
          <w:sz w:val="28"/>
          <w:szCs w:val="28"/>
        </w:rPr>
      </w:pPr>
    </w:p>
    <w:p w:rsidR="002E772E" w:rsidRDefault="002E772E" w:rsidP="002E772E">
      <w:pPr>
        <w:pStyle w:val="a4"/>
        <w:widowControl w:val="0"/>
        <w:suppressAutoHyphens/>
        <w:spacing w:before="0" w:beforeAutospacing="0" w:after="0" w:afterAutospacing="0"/>
        <w:ind w:firstLine="851"/>
        <w:jc w:val="both"/>
        <w:rPr>
          <w:sz w:val="28"/>
          <w:szCs w:val="28"/>
        </w:rPr>
      </w:pPr>
    </w:p>
    <w:p w:rsidR="00701CF3" w:rsidRDefault="00701CF3"/>
    <w:p w:rsidR="002E772E" w:rsidRDefault="002E772E"/>
    <w:p w:rsidR="002E772E" w:rsidRDefault="002E772E"/>
    <w:sectPr w:rsidR="002E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51"/>
    <w:rsid w:val="002E772E"/>
    <w:rsid w:val="004F072E"/>
    <w:rsid w:val="004F2FF6"/>
    <w:rsid w:val="00701CF3"/>
    <w:rsid w:val="00840D51"/>
    <w:rsid w:val="009B2D9E"/>
    <w:rsid w:val="00B31239"/>
    <w:rsid w:val="00C4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B418"/>
  <w15:chartTrackingRefBased/>
  <w15:docId w15:val="{7FC76F4E-549D-45EE-9454-75D3C88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E772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72E"/>
    <w:rPr>
      <w:rFonts w:ascii="Times New Roman" w:eastAsia="Times New Roman" w:hAnsi="Times New Roman" w:cs="Times New Roman"/>
      <w:b/>
      <w:bCs/>
      <w:kern w:val="36"/>
      <w:sz w:val="48"/>
      <w:szCs w:val="48"/>
      <w:lang w:eastAsia="ru-RU"/>
    </w:rPr>
  </w:style>
  <w:style w:type="character" w:styleId="a3">
    <w:name w:val="Hyperlink"/>
    <w:basedOn w:val="a0"/>
    <w:rsid w:val="002E772E"/>
    <w:rPr>
      <w:color w:val="0000FF"/>
      <w:u w:val="single"/>
    </w:rPr>
  </w:style>
  <w:style w:type="paragraph" w:styleId="a4">
    <w:name w:val="Normal (Web)"/>
    <w:basedOn w:val="a"/>
    <w:rsid w:val="002E77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7</cp:revision>
  <dcterms:created xsi:type="dcterms:W3CDTF">2020-01-15T09:46:00Z</dcterms:created>
  <dcterms:modified xsi:type="dcterms:W3CDTF">2020-01-15T09:54:00Z</dcterms:modified>
</cp:coreProperties>
</file>