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ИЗВЕЩЕНИЕ 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о проведен</w:t>
      </w:r>
      <w:proofErr w:type="gramStart"/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ии </w:t>
      </w:r>
      <w:r w:rsidR="00D96A78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ау</w:t>
      </w:r>
      <w:proofErr w:type="gramEnd"/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кциона в электронной форме по продаже муниципального имущества –</w:t>
      </w:r>
      <w:r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r w:rsidR="007B333D"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объекта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 w:rsidR="007B333D"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незавершенного строительства, расположенного  по адресу: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 w:rsidR="007B333D"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Свердловская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область, город </w:t>
      </w:r>
      <w:r w:rsidR="007B333D"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Ирбит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, </w:t>
      </w:r>
      <w:r w:rsidR="007B333D"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улица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 w:rsidR="007B333D"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Маршала Жукова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, д</w:t>
      </w:r>
      <w:r w:rsidR="00D96A78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. </w:t>
      </w:r>
      <w:r w:rsidR="007B333D"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7, расположенного на земельном участке по адресу: Свердловская область, горо</w:t>
      </w:r>
      <w:r w:rsidR="00D96A78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д Ирбит, улица Маршала Жукова, </w:t>
      </w:r>
      <w:r w:rsidR="007B333D"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7</w:t>
      </w:r>
    </w:p>
    <w:p w:rsidR="007B333D" w:rsidRPr="00EA6BF7" w:rsidRDefault="001D68F6" w:rsidP="001D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Arial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на электронной площадке </w:t>
      </w:r>
      <w:hyperlink r:id="rId7" w:history="1">
        <w:r w:rsidR="007B333D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https://www.rts-tender.ru/property-sales</w:t>
        </w:r>
      </w:hyperlink>
      <w:r w:rsidR="007B333D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в информационно-телекоммуникационной сети Интернет</w:t>
      </w:r>
    </w:p>
    <w:p w:rsidR="001D68F6" w:rsidRPr="00EA6BF7" w:rsidRDefault="001D68F6" w:rsidP="000D33A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Извещение о проведении настоящего аукциона в электронной форме (далее - Извещение) размещается на официальном сайте Российской Федерации для размещения информации о проведении торгов </w:t>
      </w:r>
      <w:hyperlink r:id="rId8" w:history="1">
        <w:r w:rsidR="007B333D" w:rsidRPr="00EA6BF7">
          <w:rPr>
            <w:rStyle w:val="a6"/>
            <w:rFonts w:ascii="Liberation Serif" w:eastAsia="Times New Roman" w:hAnsi="Liberation Serif" w:cs="Times New Roman"/>
            <w:sz w:val="26"/>
            <w:szCs w:val="26"/>
            <w:lang w:eastAsia="ru-RU"/>
          </w:rPr>
          <w:t>http://torgi.gov.ru/new</w:t>
        </w:r>
      </w:hyperlink>
      <w:r w:rsidR="007B333D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официальном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интернет-портале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</w:t>
      </w:r>
      <w:r w:rsidR="007B333D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ласти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hyperlink r:id="rId9" w:history="1">
        <w:r w:rsidR="000D33A8" w:rsidRPr="00EA6BF7">
          <w:rPr>
            <w:rStyle w:val="a6"/>
            <w:rFonts w:ascii="Liberation Serif" w:eastAsia="Times New Roman" w:hAnsi="Liberation Serif" w:cs="Times New Roman"/>
            <w:sz w:val="26"/>
            <w:szCs w:val="26"/>
            <w:lang w:eastAsia="ru-RU"/>
          </w:rPr>
          <w:t>http://moirbit.ru</w:t>
        </w:r>
      </w:hyperlink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на электронной площадке </w:t>
      </w:r>
      <w:r w:rsidR="000D33A8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>«РТС-тендер» Имущественные торги.</w:t>
      </w:r>
    </w:p>
    <w:p w:rsidR="001D68F6" w:rsidRPr="00EA6BF7" w:rsidRDefault="001D68F6" w:rsidP="000D33A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Оператор электронной площадки, на которой проводится аукцион в электронной форме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  <w:r w:rsidR="000D33A8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No1.</w:t>
      </w:r>
    </w:p>
    <w:p w:rsidR="000D33A8" w:rsidRPr="00EA6BF7" w:rsidRDefault="001D68F6" w:rsidP="000D3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Наименование органа местного самоуправления, принявшего решение об условиях приватизации имущества: 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администрация Городского округа «город Ирбит» Свердловской области. </w:t>
      </w:r>
    </w:p>
    <w:p w:rsidR="001D68F6" w:rsidRPr="00EA6BF7" w:rsidRDefault="001D68F6" w:rsidP="002B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Реквизиты решения об условиях приватизации имущества: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 администрации Городского округа «город И</w:t>
      </w:r>
      <w:r w:rsidR="00FF0BA0">
        <w:rPr>
          <w:rFonts w:ascii="Liberation Serif" w:eastAsia="Times New Roman" w:hAnsi="Liberation Serif" w:cs="Times New Roman"/>
          <w:sz w:val="26"/>
          <w:szCs w:val="26"/>
          <w:lang w:eastAsia="ru-RU"/>
        </w:rPr>
        <w:t>рбит» Свердловской области от 27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.0</w:t>
      </w:r>
      <w:r w:rsidR="00FF0BA0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FF0BA0">
        <w:rPr>
          <w:rFonts w:ascii="Liberation Serif" w:eastAsia="Times New Roman" w:hAnsi="Liberation Serif" w:cs="Times New Roman"/>
          <w:sz w:val="26"/>
          <w:szCs w:val="26"/>
          <w:lang w:eastAsia="ru-RU"/>
        </w:rPr>
        <w:t>3 № 633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 «О приватизации муниципального имущества»</w:t>
      </w:r>
      <w:r w:rsidR="002B359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</w:p>
    <w:p w:rsidR="001D68F6" w:rsidRPr="00EA6BF7" w:rsidRDefault="001D68F6" w:rsidP="002B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Способ приватизации и форма подачи предложений о цене: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аукцион в электронной форме, открытый по составу участников и форме подачи предложений </w:t>
      </w:r>
    </w:p>
    <w:p w:rsidR="002B3594" w:rsidRPr="00EA6BF7" w:rsidRDefault="001D68F6" w:rsidP="002B359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Наименование имущества и иные позволяющие его индивидуализировать сведения (характеристика имущества</w:t>
      </w:r>
      <w:r w:rsidR="002B3594"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proofErr w:type="gramEnd"/>
    </w:p>
    <w:p w:rsidR="00AA10DE" w:rsidRPr="00EA6BF7" w:rsidRDefault="002B3594" w:rsidP="00AA10D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ЛОТ № 1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– 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Объект незавершенного строительства, площадь застройки </w:t>
      </w:r>
      <w:r w:rsidR="00FF0BA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 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41</w:t>
      </w:r>
      <w:r w:rsidR="00FF0BA0">
        <w:rPr>
          <w:rFonts w:ascii="Liberation Serif" w:eastAsia="Times New Roman" w:hAnsi="Liberation Serif" w:cs="Times New Roman"/>
          <w:sz w:val="26"/>
          <w:szCs w:val="26"/>
          <w:lang w:eastAsia="ru-RU"/>
        </w:rPr>
        <w:t>5,7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кв.м</w:t>
      </w:r>
      <w:proofErr w:type="spellEnd"/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., с кадастровым номером  66:44:0000000:109</w:t>
      </w:r>
      <w:r w:rsidR="00FF0BA0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находящийся по адресу: Свердловская область, город И</w:t>
      </w:r>
      <w:r w:rsidR="00FF0BA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рбит, улица Маршала Жукова, д. 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7, расположенный на земельном участке, категория земель: земли населенных пунктов, вид разрешенного использования: </w:t>
      </w:r>
      <w:proofErr w:type="spellStart"/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среднеэтажная</w:t>
      </w:r>
      <w:proofErr w:type="spellEnd"/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жилая застройка, площадь </w:t>
      </w:r>
      <w:r w:rsidR="00FF0BA0">
        <w:rPr>
          <w:rFonts w:ascii="Liberation Serif" w:eastAsia="Times New Roman" w:hAnsi="Liberation Serif" w:cs="Times New Roman"/>
          <w:sz w:val="26"/>
          <w:szCs w:val="26"/>
          <w:lang w:eastAsia="ru-RU"/>
        </w:rPr>
        <w:t>5426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кв. м., кадастровый номер 66:44:0102027:</w:t>
      </w:r>
      <w:r w:rsidR="00FF0BA0">
        <w:rPr>
          <w:rFonts w:ascii="Liberation Serif" w:eastAsia="Times New Roman" w:hAnsi="Liberation Serif" w:cs="Times New Roman"/>
          <w:sz w:val="26"/>
          <w:szCs w:val="26"/>
          <w:lang w:eastAsia="ru-RU"/>
        </w:rPr>
        <w:t>99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по адресу: Свердловская область, горо</w:t>
      </w:r>
      <w:r w:rsidR="00FF0BA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 Ирбит, улица Маршала Жукова, 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7.</w:t>
      </w:r>
    </w:p>
    <w:p w:rsidR="002B3594" w:rsidRPr="00EA6BF7" w:rsidRDefault="002B3594" w:rsidP="00AA10D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Сведения, позволяющие индивидуализировать приватизируемое муниципальное имущество: </w:t>
      </w:r>
    </w:p>
    <w:p w:rsidR="00B14693" w:rsidRPr="00EA6BF7" w:rsidRDefault="00AA10DE" w:rsidP="00B1469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Фактически объект незавершенного строительства представляет собой фундамент площадь застройки </w:t>
      </w:r>
      <w:r w:rsidR="00A3329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41</w:t>
      </w:r>
      <w:r w:rsidR="00A33297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A33297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кв.м</w:t>
      </w:r>
      <w:proofErr w:type="spell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., с кадастровым номером  66:44:0000000:109</w:t>
      </w:r>
      <w:r w:rsidR="00A33297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находящийся по адресу: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Свердловская область, город И</w:t>
      </w:r>
      <w:r w:rsidR="00A3329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рбит, улица Маршала Жукова, д.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7 (имущество принадлежит муниципальному образованию город Ирбит на праве собственности, о чем в едином государственном реестре прав на недви</w:t>
      </w:r>
      <w:r w:rsidR="00A33297">
        <w:rPr>
          <w:rFonts w:ascii="Liberation Serif" w:eastAsia="Times New Roman" w:hAnsi="Liberation Serif" w:cs="Times New Roman"/>
          <w:sz w:val="26"/>
          <w:szCs w:val="26"/>
          <w:lang w:eastAsia="ru-RU"/>
        </w:rPr>
        <w:t>жимое имущество и сделок с ним 20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.0</w:t>
      </w:r>
      <w:r w:rsidR="00A33297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.2008г. сделана запись регистрации № 66-66-33/0</w:t>
      </w:r>
      <w:r w:rsidR="00A33297">
        <w:rPr>
          <w:rFonts w:ascii="Liberation Serif" w:eastAsia="Times New Roman" w:hAnsi="Liberation Serif" w:cs="Times New Roman"/>
          <w:sz w:val="26"/>
          <w:szCs w:val="26"/>
          <w:lang w:eastAsia="ru-RU"/>
        </w:rPr>
        <w:t>06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/2008-</w:t>
      </w:r>
      <w:r w:rsidR="00A33297">
        <w:rPr>
          <w:rFonts w:ascii="Liberation Serif" w:eastAsia="Times New Roman" w:hAnsi="Liberation Serif" w:cs="Times New Roman"/>
          <w:sz w:val="26"/>
          <w:szCs w:val="26"/>
          <w:lang w:eastAsia="ru-RU"/>
        </w:rPr>
        <w:t>239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), расположенный на земельном участке, категория земель: земли населенных пунктов, вид разрешенного использования: </w:t>
      </w:r>
      <w:proofErr w:type="spell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среднеэтажная</w:t>
      </w:r>
      <w:proofErr w:type="spell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жилая застройка, площадь </w:t>
      </w:r>
      <w:r w:rsidR="00A33297">
        <w:rPr>
          <w:rFonts w:ascii="Liberation Serif" w:eastAsia="Times New Roman" w:hAnsi="Liberation Serif" w:cs="Times New Roman"/>
          <w:sz w:val="26"/>
          <w:szCs w:val="26"/>
          <w:lang w:eastAsia="ru-RU"/>
        </w:rPr>
        <w:t>5426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кв. м., кадастровый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номер 66:44:0102027:</w:t>
      </w:r>
      <w:r w:rsidR="00A33297">
        <w:rPr>
          <w:rFonts w:ascii="Liberation Serif" w:eastAsia="Times New Roman" w:hAnsi="Liberation Serif" w:cs="Times New Roman"/>
          <w:sz w:val="26"/>
          <w:szCs w:val="26"/>
          <w:lang w:eastAsia="ru-RU"/>
        </w:rPr>
        <w:t>99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по адресу: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Свердловская область, горо</w:t>
      </w:r>
      <w:r w:rsidR="00A3329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 Ирбит, улица Маршала Жукова,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="00B14693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(имущество принадлежит муниципальному образованию город Ирбит на праве собственности, о чем в едином государственном реестре прав на недвижимое имуще</w:t>
      </w:r>
      <w:r w:rsidR="00A33297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ство    и   сделок   с   ним   20.07.2018</w:t>
      </w:r>
      <w:r w:rsidR="00B14693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  сделана   запись    регистрации</w:t>
      </w:r>
      <w:proofErr w:type="gramEnd"/>
    </w:p>
    <w:p w:rsidR="00AA10DE" w:rsidRPr="00EA6BF7" w:rsidRDefault="00B14693" w:rsidP="00B1469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66:44:0102027:</w:t>
      </w:r>
      <w:r w:rsidR="00A33297">
        <w:rPr>
          <w:rFonts w:ascii="Liberation Serif" w:eastAsia="Times New Roman" w:hAnsi="Liberation Serif" w:cs="Times New Roman"/>
          <w:sz w:val="26"/>
          <w:szCs w:val="26"/>
          <w:lang w:eastAsia="ru-RU"/>
        </w:rPr>
        <w:t>99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-66/</w:t>
      </w:r>
      <w:r w:rsidR="00A33297">
        <w:rPr>
          <w:rFonts w:ascii="Liberation Serif" w:eastAsia="Times New Roman" w:hAnsi="Liberation Serif" w:cs="Times New Roman"/>
          <w:sz w:val="26"/>
          <w:szCs w:val="26"/>
          <w:lang w:eastAsia="ru-RU"/>
        </w:rPr>
        <w:t>033/2018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-1)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gramEnd"/>
    </w:p>
    <w:p w:rsidR="00960922" w:rsidRPr="00EA6BF7" w:rsidRDefault="00AA10DE" w:rsidP="00B146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B359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Ограничения (обременения):</w:t>
      </w:r>
    </w:p>
    <w:p w:rsidR="002B3594" w:rsidRPr="00EA6BF7" w:rsidRDefault="00960922" w:rsidP="0096092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B14693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объект незавершенного строительства</w:t>
      </w:r>
      <w:r w:rsidR="002B359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зарегистрировано</w:t>
      </w:r>
      <w:r w:rsidR="002B3594" w:rsidRPr="00EA6BF7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.</w:t>
      </w:r>
    </w:p>
    <w:p w:rsidR="002B3594" w:rsidRPr="00EA6BF7" w:rsidRDefault="00960922" w:rsidP="0096092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-на з</w:t>
      </w:r>
      <w:r w:rsidR="002B359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емельный участок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ограничения прав предусмотрены статьей 56 Земельного кодекса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Российской Федерации</w:t>
      </w:r>
      <w:r w:rsidR="002B359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B3594" w:rsidRPr="00EA6BF7" w:rsidRDefault="002B3594" w:rsidP="002B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Условие приватизации: </w:t>
      </w:r>
      <w:r w:rsidR="00960922"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строительство многоквартирного жилого дома по адресу: Свердловская область, город Ирбит</w:t>
      </w:r>
      <w:proofErr w:type="gramStart"/>
      <w:r w:rsidR="00960922"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</w:t>
      </w:r>
      <w:proofErr w:type="gramEnd"/>
      <w:r w:rsidR="00960922"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proofErr w:type="gramStart"/>
      <w:r w:rsidR="00960922"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у</w:t>
      </w:r>
      <w:proofErr w:type="gramEnd"/>
      <w:r w:rsidR="00960922"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лица Маршала Жукова, д. </w:t>
      </w:r>
      <w:r w:rsidR="00903F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7</w:t>
      </w:r>
      <w:bookmarkStart w:id="0" w:name="_GoBack"/>
      <w:bookmarkEnd w:id="0"/>
      <w:r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</w:t>
      </w:r>
      <w:r w:rsidR="00A3329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Использование земельного</w:t>
      </w:r>
      <w:r w:rsidR="004E21A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участка строго </w:t>
      </w:r>
      <w:r w:rsidR="00A811A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в соответствии с </w:t>
      </w:r>
      <w:r w:rsidR="0095679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видом </w:t>
      </w:r>
      <w:r w:rsidR="00A811A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разрешенн</w:t>
      </w:r>
      <w:r w:rsidR="0095679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ого использования.</w:t>
      </w:r>
    </w:p>
    <w:p w:rsidR="00FE50CE" w:rsidRPr="00EA6BF7" w:rsidRDefault="001D68F6" w:rsidP="00FE5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Продавец: </w:t>
      </w:r>
      <w:r w:rsidR="002E6E6D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(далее - Продавец), 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623850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Свердловская область,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г.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Ирбит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,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ул. 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Революции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д. 16,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кабинет 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тел. (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34355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6-28-87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EA6BF7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e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Pr="00EA6BF7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mail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hyperlink r:id="rId10" w:history="1">
        <w:r w:rsidR="00FE50CE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val="en-US" w:eastAsia="ru-RU"/>
          </w:rPr>
          <w:t>omikorosteleva</w:t>
        </w:r>
        <w:r w:rsidR="00FE50CE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@</w:t>
        </w:r>
        <w:r w:rsidR="00FE50CE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val="en-US" w:eastAsia="ru-RU"/>
          </w:rPr>
          <w:t>mail</w:t>
        </w:r>
        <w:r w:rsidR="00FE50CE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.</w:t>
        </w:r>
        <w:r w:rsidR="00FE50CE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val="en-US" w:eastAsia="ru-RU"/>
          </w:rPr>
          <w:t>ru</w:t>
        </w:r>
      </w:hyperlink>
      <w:r w:rsidR="007475D5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>.</w:t>
      </w:r>
    </w:p>
    <w:p w:rsidR="001D68F6" w:rsidRPr="00EA6BF7" w:rsidRDefault="001D68F6" w:rsidP="00FE5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Начальная цена</w:t>
      </w:r>
      <w:r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: </w:t>
      </w:r>
      <w:r w:rsidR="0095679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4</w:t>
      </w:r>
      <w:r w:rsidR="00FE50CE"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95679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343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000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="0095679D">
        <w:rPr>
          <w:rFonts w:ascii="Liberation Serif" w:eastAsia="Times New Roman" w:hAnsi="Liberation Serif" w:cs="Times New Roman"/>
          <w:sz w:val="26"/>
          <w:szCs w:val="26"/>
          <w:lang w:eastAsia="ru-RU"/>
        </w:rPr>
        <w:t>четыре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миллион</w:t>
      </w:r>
      <w:r w:rsidR="0095679D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5679D">
        <w:rPr>
          <w:rFonts w:ascii="Liberation Serif" w:eastAsia="Times New Roman" w:hAnsi="Liberation Serif" w:cs="Times New Roman"/>
          <w:sz w:val="26"/>
          <w:szCs w:val="26"/>
          <w:lang w:eastAsia="ru-RU"/>
        </w:rPr>
        <w:t>триста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5679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сорок три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тысяч</w:t>
      </w:r>
      <w:r w:rsidR="0095679D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рублей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0 копеек (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том числе </w:t>
      </w:r>
      <w:r w:rsidR="0095679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 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объект незавершенного строительства </w:t>
      </w:r>
      <w:r w:rsidR="0095679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 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683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 000 (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два миллиона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шестьсот восемьдесят три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тысяч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рублей 00 копеек 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 учетом НДС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 земельный участок               1 660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 000 (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один миллион шестьсот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шестьдесят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тысяч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рублей 00 копеек без учета НДС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 соответствии с 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отчетом об определении</w:t>
      </w:r>
      <w:proofErr w:type="gramEnd"/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рыночной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12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.0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7475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40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423</w:t>
      </w:r>
      <w:r w:rsidR="007475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271</w:t>
      </w:r>
      <w:r w:rsidR="007475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1D68F6" w:rsidRPr="00EA6BF7" w:rsidRDefault="001D68F6" w:rsidP="001D68F6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Величина повышения первоначальной цены («шаг аукциона»)</w:t>
      </w:r>
      <w:r w:rsidR="007475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217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150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двести семнадцать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тысяч 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сто пятьдесят</w:t>
      </w:r>
      <w:r w:rsidR="007475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копеек</w:t>
      </w:r>
      <w:r w:rsidR="007475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1D68F6" w:rsidRPr="00EA6BF7" w:rsidRDefault="001D68F6" w:rsidP="001D68F6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Условия и сроки платежа, необходимые реквизиты счетов: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оплата стоимости объекта муниципального имущества победителем аукциона производится единовременно безналичным перечислением на счет </w:t>
      </w:r>
      <w:r w:rsidR="004D362C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администрации Городского округа «город Ирбит» Свердловской области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D362C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позднее 10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рабочих дней со дня заключения договора купли-продажи по реквизитам, указанным  в договоре купли-продажи муниципального имущества (см. Договор - Приложение № 2  </w:t>
      </w:r>
      <w:r w:rsidR="004D362C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Извещению)</w:t>
      </w:r>
      <w:proofErr w:type="gramEnd"/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Размер задатка: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20 % от начальной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цены</w:t>
      </w:r>
      <w:proofErr w:type="gramEnd"/>
      <w:r w:rsidR="0030608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что составляет 536</w:t>
      </w:r>
      <w:r w:rsidR="00953F1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953F1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00</w:t>
      </w:r>
      <w:r w:rsidR="0030608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пятьсот тридцать</w:t>
      </w:r>
      <w:r w:rsidR="00CC2F06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шесть</w:t>
      </w:r>
      <w:r w:rsidR="00953F1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тысяч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шестьсот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953F1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рублей 00 копеек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4158A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 объект незавершенного строительства</w:t>
      </w:r>
      <w:r w:rsidR="00953F1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332</w:t>
      </w:r>
      <w:r w:rsidR="00953F1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953F1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00 (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триста</w:t>
      </w:r>
      <w:r w:rsidR="00953F1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тридцать</w:t>
      </w:r>
      <w:r w:rsidR="00953F1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две</w:t>
      </w:r>
      <w:r w:rsidR="00953F1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тысяч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953F1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4158A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 земельный участок</w:t>
      </w:r>
      <w:r w:rsidR="00953F1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Внести задаток необходимо двумя платежами отдельно за</w:t>
      </w:r>
      <w:r w:rsidR="007A5FD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объект незавершенного строитель</w:t>
      </w:r>
      <w:r w:rsidR="0024158A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ства</w:t>
      </w:r>
      <w:r w:rsidR="007A5FD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отдельно за земельный участок.</w:t>
      </w:r>
    </w:p>
    <w:p w:rsidR="00524035" w:rsidRPr="00EA6BF7" w:rsidRDefault="001D68F6" w:rsidP="00524035">
      <w:pPr>
        <w:pStyle w:val="a7"/>
        <w:jc w:val="both"/>
        <w:rPr>
          <w:rFonts w:ascii="Liberation Serif" w:hAnsi="Liberation Serif"/>
          <w:sz w:val="26"/>
          <w:szCs w:val="26"/>
        </w:rPr>
      </w:pPr>
      <w:r w:rsidRPr="00EA6BF7">
        <w:rPr>
          <w:rFonts w:ascii="Liberation Serif" w:hAnsi="Liberation Serif"/>
          <w:b/>
          <w:color w:val="000000"/>
          <w:sz w:val="26"/>
          <w:szCs w:val="26"/>
          <w:lang w:val="x-none" w:eastAsia="x-none"/>
        </w:rPr>
        <w:t>Срок и порядок внесения задатка</w:t>
      </w:r>
      <w:r w:rsidRPr="00EA6BF7">
        <w:rPr>
          <w:rFonts w:ascii="Liberation Serif" w:hAnsi="Liberation Serif"/>
          <w:b/>
          <w:color w:val="000000"/>
          <w:sz w:val="26"/>
          <w:szCs w:val="26"/>
          <w:lang w:eastAsia="x-none"/>
        </w:rPr>
        <w:t>, назначение платежа, необходимые реквизиты счетов</w:t>
      </w:r>
      <w:r w:rsidRPr="00EA6BF7">
        <w:rPr>
          <w:rFonts w:ascii="Liberation Serif" w:hAnsi="Liberation Serif"/>
          <w:b/>
          <w:color w:val="000000"/>
          <w:sz w:val="26"/>
          <w:szCs w:val="26"/>
          <w:lang w:val="x-none" w:eastAsia="x-none"/>
        </w:rPr>
        <w:t xml:space="preserve">: </w:t>
      </w:r>
      <w:r w:rsidR="00524035" w:rsidRPr="00EA6BF7">
        <w:rPr>
          <w:rFonts w:ascii="Liberation Serif" w:hAnsi="Liberation Serif"/>
          <w:sz w:val="26"/>
          <w:szCs w:val="26"/>
        </w:rPr>
        <w:t xml:space="preserve">внести задаток на счет </w:t>
      </w:r>
      <w:r w:rsidR="00524035" w:rsidRPr="00EA6BF7">
        <w:rPr>
          <w:rFonts w:ascii="Liberation Serif" w:hAnsi="Liberation Serif"/>
          <w:spacing w:val="1"/>
          <w:sz w:val="26"/>
          <w:szCs w:val="26"/>
        </w:rPr>
        <w:t>администрации Городского округа «город Ирбит» Свердловской области: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ИНН 6611001320, КПП 667601001,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р/сч. </w:t>
      </w:r>
      <w:r w:rsidRPr="00EA6BF7">
        <w:rPr>
          <w:rFonts w:ascii="Liberation Serif" w:hAnsi="Liberation Serif"/>
          <w:bCs/>
          <w:sz w:val="26"/>
          <w:szCs w:val="26"/>
        </w:rPr>
        <w:t xml:space="preserve">03232643657390006200, </w:t>
      </w: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л/сч. 05623013370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>в Уральское ГУ Банка России//УФК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по Свердловской области г. Екатеринбург, 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>БИК 016577551,  ОКТМО 65739000,</w:t>
      </w:r>
    </w:p>
    <w:p w:rsidR="001D68F6" w:rsidRPr="00EA6BF7" w:rsidRDefault="00524035" w:rsidP="005240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hAnsi="Liberation Serif"/>
          <w:b/>
          <w:bCs/>
          <w:noProof/>
          <w:sz w:val="26"/>
          <w:szCs w:val="26"/>
        </w:rPr>
        <w:t xml:space="preserve"> </w:t>
      </w:r>
      <w:r w:rsidRPr="00EA6BF7">
        <w:rPr>
          <w:rFonts w:ascii="Liberation Serif" w:hAnsi="Liberation Serif"/>
          <w:sz w:val="26"/>
          <w:szCs w:val="26"/>
        </w:rPr>
        <w:t xml:space="preserve">не позднее даты окончания приема заявок. </w:t>
      </w:r>
    </w:p>
    <w:p w:rsidR="00524035" w:rsidRPr="00EA6BF7" w:rsidRDefault="001D68F6" w:rsidP="005240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Порядок возврата задатка: </w:t>
      </w:r>
      <w:r w:rsidR="00524035" w:rsidRPr="00EA6BF7">
        <w:rPr>
          <w:rFonts w:ascii="Liberation Serif" w:hAnsi="Liberation Serif"/>
          <w:sz w:val="26"/>
          <w:szCs w:val="26"/>
        </w:rPr>
        <w:t xml:space="preserve"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</w:r>
      <w:r w:rsidR="00524035" w:rsidRPr="00EA6BF7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Задаток, внесенный победителем продажи, засчитывается в счет исполнения обязательств по оплате стоимости реализуемого имущества по договору купли-продажи.   </w:t>
      </w:r>
    </w:p>
    <w:p w:rsidR="001D68F6" w:rsidRPr="00EA6BF7" w:rsidRDefault="00524035" w:rsidP="00524035">
      <w:pPr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Настоящее Извещение является публичной офертой для заключения договора о задатке                   в соответствии со </w:t>
      </w:r>
      <w:hyperlink r:id="rId11" w:history="1">
        <w:r w:rsidRPr="00EA6BF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статьей 437</w:t>
        </w:r>
      </w:hyperlink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1D68F6" w:rsidRPr="00EA6BF7" w:rsidRDefault="001D68F6" w:rsidP="001D68F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Порядок регистрации на электронной площадке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 xml:space="preserve">: </w:t>
      </w:r>
      <w:r w:rsidR="00524035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«РТС-тендер» Имущественные торги, размещенное по адресу в информационно-телекоммуникационной сети «Интернет»: </w:t>
      </w:r>
      <w:hyperlink r:id="rId12" w:history="1">
        <w:r w:rsidR="00524035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https://www.rts-tender.ru/platform-rules/platform-property-sales</w:t>
        </w:r>
      </w:hyperlink>
      <w:r w:rsidR="00524035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в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соответствии</w:t>
      </w:r>
      <w:r w:rsidR="00524035"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                      р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>егламентом.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Исчерпывающий перечень представляемых участниками торгов документов:                    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участия в аукционе претенденты представляют заявку (Приложение № 1                                   к Извещению) и следующие документы: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юридические лица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- заверенные копии учредительных документов;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- документ, который подтверждает полномочия руководителя юридического лица          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физические лица: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hyperlink r:id="rId13" w:history="1">
        <w:r w:rsidRPr="00EA6BF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документ</w:t>
        </w:r>
      </w:hyperlink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удостоверяющий личность, или копии всех его листов.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случае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если от имени претендента действует его представитель по доверенности,                    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D68F6" w:rsidRPr="00EA6BF7" w:rsidRDefault="001D68F6" w:rsidP="001D68F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</w:pPr>
      <w:r w:rsidRPr="00EA6BF7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>Вышеуказанные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</w:t>
      </w:r>
      <w:r w:rsidR="00953F14" w:rsidRPr="00EA6BF7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 xml:space="preserve">ы должны быть легализированы </w:t>
      </w:r>
      <w:r w:rsidRPr="00EA6BF7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 xml:space="preserve"> на территории Российской Федерации и иметь заверенный перевод на русский язык</w:t>
      </w:r>
      <w:r w:rsidR="00953F14" w:rsidRPr="00EA6BF7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>.</w:t>
      </w:r>
    </w:p>
    <w:p w:rsidR="001D68F6" w:rsidRPr="00EA6BF7" w:rsidRDefault="001D68F6" w:rsidP="001D68F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x-none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>Т</w:t>
      </w:r>
      <w:proofErr w:type="spellStart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ребования</w:t>
      </w:r>
      <w:proofErr w:type="spellEnd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 xml:space="preserve"> к оформлению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 xml:space="preserve"> 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представляемых участниками торгов документов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 xml:space="preserve">: 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eastAsia="x-none"/>
        </w:rPr>
        <w:t>з</w:t>
      </w:r>
      <w:proofErr w:type="spellStart"/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>аявка</w:t>
      </w:r>
      <w:proofErr w:type="spellEnd"/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 xml:space="preserve"> (Приложение № 1 к Извещению) подается путем заполнения ее электронной формы, размещенной в открытой для доступа части электронной площадки,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 Федеральным законом о приватизации. </w:t>
      </w:r>
      <w:proofErr w:type="gramEnd"/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претендента. Претендент несет ответственность за подлинность и достоверность таких документов и сведений.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Заполненный файл с заявкой и документы необходимо загрузить на электронную площадку</w:t>
      </w:r>
    </w:p>
    <w:p w:rsidR="001D68F6" w:rsidRPr="00EA6BF7" w:rsidRDefault="001D68F6" w:rsidP="001D68F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</w:rPr>
        <w:t>Порядок и место подачи заявок:</w:t>
      </w:r>
      <w:r w:rsidRPr="00EA6BF7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EA6BF7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>заявки подаются на электронную площадку, начиная                 с даты и времени начала подачи заявок до времени и даты окончания подачи заявок, указанных в Извещении. Одно лицо имеет право подать только одну заявку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Срок заключения договора купли-продажи с победителем аукциона: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течение пяти рабочих дней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 даты подведения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итогов аукциона в электронной форме.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Порядок ознакомления покупателей с иной информацией, условиями договора купли-продажи имущества: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иными сведениями об имуществе, имеющимися                                в распоряжении у Продавца, условиями договора купли-продажи имущества претенденты могут ознакомиться в </w:t>
      </w:r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 (далее - Продавец), 623850, Свердловская область, г. Ирбит</w:t>
      </w:r>
      <w:proofErr w:type="gramStart"/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,</w:t>
      </w:r>
      <w:proofErr w:type="gramEnd"/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ул. Революции, д. 16, кабинет 9, тел. (34355) 6-28-87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(см. Договор - Приложение № 2 к Извещению).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Любое заинтересованное лицо со дня начала приема заявок вправе направить                              на электронную площадку запрос о разъяснении размещенной информации. Такой запрос направляется не позднее 5 рабочих дней до даты окончания подачи заявок. В течение                  2 рабочих дней со дня поступления запроса Организатор торгов предоставляет разъяснение без указания лица, от которого поступил запрос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Правила проведения аукциона в электронной форме, порядок определения его победителей: 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см. Документы, файл Правила проведения аукциона по продаже имущества в электронной форме</w:t>
      </w:r>
    </w:p>
    <w:p w:rsidR="00121AE5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начала подачи заявок: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08 час. 30 мин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«</w:t>
      </w:r>
      <w:r w:rsidR="004E21A0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12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1C76D8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мая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1C76D8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3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г.</w:t>
      </w:r>
    </w:p>
    <w:p w:rsidR="001D68F6" w:rsidRPr="00EA6BF7" w:rsidRDefault="00121AE5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 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t>Прием Заявок осуществляется круглосуточно.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br/>
        <w:t>* Здесь и далее указано местное время. На электр</w:t>
      </w:r>
      <w:r w:rsidR="004E21A0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t>онной площадке время московское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t>.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br/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окончания подачи заявок: </w:t>
      </w:r>
      <w:r w:rsidR="00DB4532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до 1</w:t>
      </w:r>
      <w:r w:rsidR="001C76D8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6</w:t>
      </w:r>
      <w:r w:rsidR="00DB4532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час. </w:t>
      </w:r>
      <w:r w:rsidR="001C76D8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00 мин. «</w:t>
      </w:r>
      <w:r w:rsid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05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июня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1C76D8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3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г. 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определения участников аукциона: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определение участников состоится</w:t>
      </w: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                </w:t>
      </w:r>
      <w:r w:rsidR="00F141FD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«</w:t>
      </w:r>
      <w:r w:rsidR="004E21A0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06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4E21A0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июня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F141FD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3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и время проведения аукциона (дата и время начала приема предложений                      от участников аукциона):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4E21A0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09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F141FD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июня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F141FD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3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г. в 11 час. 00 мин.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Место и срок подведения итогов аукциона: </w:t>
      </w:r>
      <w:r w:rsidR="00DB4532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«РТС-тендер» Имущественные торги, размещенное по адресу в информационно-телекоммуникационной сети «Интернет»: </w:t>
      </w:r>
      <w:hyperlink r:id="rId14" w:history="1">
        <w:r w:rsidR="00DB4532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https://www.rts-tender.ru/platform-rules/platform-property-sales</w:t>
        </w:r>
      </w:hyperlink>
      <w:r w:rsidR="00DB4532">
        <w:rPr>
          <w:rStyle w:val="a6"/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в соответствии с Регламентом. Подведение итогов процедуры не позднее: 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«</w:t>
      </w:r>
      <w:r w:rsid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09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июня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3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г.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Ограничения участия отдельных категорий физических и юридических лиц                                       в приватизации имущества: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(кроме случаев, предусмотренных статьей 25 Федерального закона от 21.12.2001 № 178-ФЗ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приватизации государственного и муниципального имущества»), а также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бенефициарных</w:t>
      </w:r>
      <w:proofErr w:type="spell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владельцах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контролирующих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лицах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порядке, установленном Правительством Российской Федерации</w:t>
      </w:r>
      <w:r w:rsidR="00DB453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Сведения обо всех предыдущих торгах по продаже имущества, объявленных                        в течение года, предшествующего его продаже, и об итогах торгов по продаже такого имущества:</w:t>
      </w:r>
    </w:p>
    <w:p w:rsidR="001D68F6" w:rsidRPr="00EA6BF7" w:rsidRDefault="001D68F6" w:rsidP="001D68F6">
      <w:pPr>
        <w:tabs>
          <w:tab w:val="left" w:pos="336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 указанный период торги по продаже муниципального имущества не объявлялись.</w:t>
      </w:r>
    </w:p>
    <w:p w:rsidR="003B68CD" w:rsidRPr="00EA6BF7" w:rsidRDefault="003B68CD">
      <w:pPr>
        <w:rPr>
          <w:rFonts w:ascii="Liberation Serif" w:hAnsi="Liberation Serif"/>
          <w:sz w:val="26"/>
          <w:szCs w:val="26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sectPr w:rsidR="008B6A13" w:rsidRPr="007B333D" w:rsidSect="00EA6BF7">
      <w:headerReference w:type="even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E1" w:rsidRDefault="008A02E1">
      <w:pPr>
        <w:spacing w:after="0" w:line="240" w:lineRule="auto"/>
      </w:pPr>
      <w:r>
        <w:separator/>
      </w:r>
    </w:p>
  </w:endnote>
  <w:endnote w:type="continuationSeparator" w:id="0">
    <w:p w:rsidR="008A02E1" w:rsidRDefault="008A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E1" w:rsidRDefault="008A02E1">
      <w:pPr>
        <w:spacing w:after="0" w:line="240" w:lineRule="auto"/>
      </w:pPr>
      <w:r>
        <w:separator/>
      </w:r>
    </w:p>
  </w:footnote>
  <w:footnote w:type="continuationSeparator" w:id="0">
    <w:p w:rsidR="008A02E1" w:rsidRDefault="008A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F2" w:rsidRDefault="001D68F6" w:rsidP="00994F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AF2" w:rsidRDefault="008A0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26"/>
    <w:rsid w:val="000D33A8"/>
    <w:rsid w:val="00121AE5"/>
    <w:rsid w:val="00161B52"/>
    <w:rsid w:val="00190BDA"/>
    <w:rsid w:val="001C76D8"/>
    <w:rsid w:val="001D68F6"/>
    <w:rsid w:val="00234C4B"/>
    <w:rsid w:val="0024158A"/>
    <w:rsid w:val="002B3594"/>
    <w:rsid w:val="002E6E6D"/>
    <w:rsid w:val="00306085"/>
    <w:rsid w:val="003B68CD"/>
    <w:rsid w:val="004D362C"/>
    <w:rsid w:val="004E21A0"/>
    <w:rsid w:val="00524035"/>
    <w:rsid w:val="007475D5"/>
    <w:rsid w:val="007500A0"/>
    <w:rsid w:val="00771BD2"/>
    <w:rsid w:val="007A5FD6"/>
    <w:rsid w:val="007B333D"/>
    <w:rsid w:val="008855C8"/>
    <w:rsid w:val="008A02E1"/>
    <w:rsid w:val="008B6A13"/>
    <w:rsid w:val="008D08D5"/>
    <w:rsid w:val="00903F15"/>
    <w:rsid w:val="00907578"/>
    <w:rsid w:val="00921226"/>
    <w:rsid w:val="00953F14"/>
    <w:rsid w:val="0095679D"/>
    <w:rsid w:val="00960922"/>
    <w:rsid w:val="00A21669"/>
    <w:rsid w:val="00A33297"/>
    <w:rsid w:val="00A811A0"/>
    <w:rsid w:val="00AA10DE"/>
    <w:rsid w:val="00AA5042"/>
    <w:rsid w:val="00B14693"/>
    <w:rsid w:val="00BF7A9B"/>
    <w:rsid w:val="00CC2F06"/>
    <w:rsid w:val="00D34904"/>
    <w:rsid w:val="00D96A78"/>
    <w:rsid w:val="00DA2727"/>
    <w:rsid w:val="00DA7ED3"/>
    <w:rsid w:val="00DB4532"/>
    <w:rsid w:val="00DD4759"/>
    <w:rsid w:val="00EA6BF7"/>
    <w:rsid w:val="00F141FD"/>
    <w:rsid w:val="00F61865"/>
    <w:rsid w:val="00FA16B5"/>
    <w:rsid w:val="00FE50CE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6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68F6"/>
  </w:style>
  <w:style w:type="character" w:styleId="a6">
    <w:name w:val="Hyperlink"/>
    <w:basedOn w:val="a0"/>
    <w:uiPriority w:val="99"/>
    <w:unhideWhenUsed/>
    <w:rsid w:val="007B333D"/>
    <w:rPr>
      <w:color w:val="0000FF" w:themeColor="hyperlink"/>
      <w:u w:val="single"/>
    </w:rPr>
  </w:style>
  <w:style w:type="paragraph" w:styleId="a7">
    <w:name w:val="No Spacing"/>
    <w:uiPriority w:val="1"/>
    <w:qFormat/>
    <w:rsid w:val="005240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6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68F6"/>
  </w:style>
  <w:style w:type="character" w:styleId="a6">
    <w:name w:val="Hyperlink"/>
    <w:basedOn w:val="a0"/>
    <w:uiPriority w:val="99"/>
    <w:unhideWhenUsed/>
    <w:rsid w:val="007B333D"/>
    <w:rPr>
      <w:color w:val="0000FF" w:themeColor="hyperlink"/>
      <w:u w:val="single"/>
    </w:rPr>
  </w:style>
  <w:style w:type="paragraph" w:styleId="a7">
    <w:name w:val="No Spacing"/>
    <w:uiPriority w:val="1"/>
    <w:qFormat/>
    <w:rsid w:val="005240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new" TargetMode="External"/><Relationship Id="rId13" Type="http://schemas.openxmlformats.org/officeDocument/2006/relationships/hyperlink" Target="consultantplus://offline/ref=239292FA733C685B5C937A6967024EDA0840BB9E5FC427D7BC91D60FCD6B8C9DF11DE350C6FEA4B61DDFA0F9BBj3J4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roperty-sales" TargetMode="External"/><Relationship Id="rId12" Type="http://schemas.openxmlformats.org/officeDocument/2006/relationships/hyperlink" Target="https://www.rts-tender.ru/platform-rules/platform-property-sale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OS;n=110207;fld=134;dst=10206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omikorostel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irbit.ru" TargetMode="External"/><Relationship Id="rId14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5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hudorogkova</dc:creator>
  <cp:keywords/>
  <dc:description/>
  <cp:lastModifiedBy>BorodinD</cp:lastModifiedBy>
  <cp:revision>16</cp:revision>
  <cp:lastPrinted>2023-04-28T09:49:00Z</cp:lastPrinted>
  <dcterms:created xsi:type="dcterms:W3CDTF">2022-07-06T14:30:00Z</dcterms:created>
  <dcterms:modified xsi:type="dcterms:W3CDTF">2023-05-16T09:45:00Z</dcterms:modified>
</cp:coreProperties>
</file>